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9176" w14:textId="77777777" w:rsidR="00F173C8" w:rsidRDefault="00F173C8" w:rsidP="00DF6A73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</w:p>
    <w:p w14:paraId="02D70F54" w14:textId="77777777" w:rsidR="00F173C8" w:rsidRDefault="00F173C8" w:rsidP="00DF6A73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</w:p>
    <w:p w14:paraId="2318B28E" w14:textId="24704A17" w:rsidR="00DF6A73" w:rsidRPr="007E125F" w:rsidRDefault="00DF6A73" w:rsidP="00A33ECE">
      <w:pPr>
        <w:pStyle w:val="Sangradetextonormal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E125F">
        <w:rPr>
          <w:rFonts w:ascii="Arial" w:hAnsi="Arial" w:cs="Arial"/>
          <w:b/>
          <w:sz w:val="22"/>
          <w:szCs w:val="22"/>
        </w:rPr>
        <w:t>Consideraciones para la Competencia</w:t>
      </w:r>
    </w:p>
    <w:p w14:paraId="0586A763" w14:textId="77777777" w:rsidR="00DF6A73" w:rsidRPr="007E125F" w:rsidRDefault="00DF6A73" w:rsidP="00DF6A73">
      <w:pPr>
        <w:pStyle w:val="Sangradetextonormal"/>
        <w:jc w:val="left"/>
        <w:rPr>
          <w:rFonts w:ascii="Arial" w:hAnsi="Arial" w:cs="Arial"/>
          <w:b/>
          <w:sz w:val="22"/>
          <w:szCs w:val="22"/>
        </w:rPr>
      </w:pPr>
    </w:p>
    <w:p w14:paraId="19D0447A" w14:textId="77777777" w:rsidR="00DF6A73" w:rsidRPr="007E125F" w:rsidRDefault="00DF6A73" w:rsidP="00DF6A73">
      <w:pPr>
        <w:pStyle w:val="Sangradetextonormal"/>
        <w:jc w:val="left"/>
        <w:rPr>
          <w:rFonts w:ascii="Arial" w:hAnsi="Arial" w:cs="Arial"/>
          <w:b/>
          <w:sz w:val="22"/>
          <w:szCs w:val="22"/>
        </w:rPr>
      </w:pPr>
    </w:p>
    <w:p w14:paraId="65DFC90B" w14:textId="06699DC1" w:rsidR="00DF6A73" w:rsidRPr="005B5890" w:rsidRDefault="00DF6A73" w:rsidP="00CF0C8E">
      <w:pPr>
        <w:rPr>
          <w:rFonts w:ascii="Arial" w:hAnsi="Arial" w:cs="Arial"/>
          <w:sz w:val="22"/>
          <w:szCs w:val="22"/>
          <w:lang w:val="es-MX"/>
        </w:rPr>
      </w:pP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Los manuales y reglas que regirán la competencia de rescate minero, así como en primeros auxilios son las del año </w:t>
      </w:r>
      <w:r w:rsidR="00DB13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202</w:t>
      </w:r>
      <w:r w:rsidR="00607D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4 y</w:t>
      </w:r>
      <w:r w:rsidR="00DB13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20</w:t>
      </w:r>
      <w:r w:rsidR="000A6F77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2</w:t>
      </w:r>
      <w:r w:rsidR="00607D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2</w:t>
      </w:r>
      <w:r w:rsidR="00DB13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que pueden bajarse a través del portal de la Cámara Minera de México en </w:t>
      </w:r>
      <w:hyperlink r:id="rId5" w:tgtFrame="_blank" w:history="1">
        <w:r w:rsidR="00CF0C8E" w:rsidRPr="00CF0C8E">
          <w:rPr>
            <w:rStyle w:val="Hipervnculo"/>
            <w:rFonts w:ascii="Arial" w:eastAsia="Arial Unicode MS" w:hAnsi="Arial" w:cs="Arial"/>
            <w:sz w:val="22"/>
            <w:szCs w:val="22"/>
            <w:lang w:eastAsia="es-ES"/>
          </w:rPr>
          <w:t>https://camimex.org.mx/index.php/publicaciones/manuales-de-rescate</w:t>
        </w:r>
      </w:hyperlink>
      <w:r w:rsidR="00CF0C8E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agradeceremos tomar en cuenta las siguientes consideraciones: </w:t>
      </w:r>
    </w:p>
    <w:p w14:paraId="5530AB33" w14:textId="77777777" w:rsidR="00DF6A73" w:rsidRPr="007E125F" w:rsidRDefault="00DF6A73" w:rsidP="00DF6A73">
      <w:pPr>
        <w:pStyle w:val="Sangradetextonormal"/>
        <w:jc w:val="left"/>
        <w:rPr>
          <w:rFonts w:ascii="Arial" w:hAnsi="Arial" w:cs="Arial"/>
          <w:b/>
          <w:sz w:val="22"/>
          <w:szCs w:val="22"/>
        </w:rPr>
      </w:pPr>
    </w:p>
    <w:p w14:paraId="47249533" w14:textId="77777777" w:rsidR="00DF6A73" w:rsidRPr="007E125F" w:rsidRDefault="00DF6A73" w:rsidP="00DF6A73">
      <w:pPr>
        <w:pStyle w:val="Sangradetextonormal"/>
        <w:jc w:val="left"/>
        <w:rPr>
          <w:rFonts w:ascii="Arial" w:hAnsi="Arial" w:cs="Arial"/>
          <w:b/>
          <w:sz w:val="22"/>
          <w:szCs w:val="22"/>
        </w:rPr>
      </w:pPr>
      <w:r w:rsidRPr="007E125F">
        <w:rPr>
          <w:rFonts w:ascii="Arial" w:hAnsi="Arial" w:cs="Arial"/>
          <w:b/>
          <w:sz w:val="22"/>
          <w:szCs w:val="22"/>
        </w:rPr>
        <w:t>Rescate minero</w:t>
      </w:r>
    </w:p>
    <w:p w14:paraId="319F669E" w14:textId="77777777" w:rsidR="000F1938" w:rsidRPr="007E125F" w:rsidRDefault="000F1938" w:rsidP="00DF6A73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</w:p>
    <w:p w14:paraId="58AE0707" w14:textId="0C9BF49F" w:rsidR="00582C45" w:rsidRPr="007E125F" w:rsidRDefault="00582C45" w:rsidP="00582C45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582C45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Las cuadrillas de rescate minero estarán formadas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582C45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por seis integrantes más dos extras (opcionales)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.</w:t>
      </w:r>
    </w:p>
    <w:p w14:paraId="45D4DAE9" w14:textId="77777777" w:rsidR="00582C45" w:rsidRPr="00CF0C8E" w:rsidRDefault="00582C45" w:rsidP="00582C45">
      <w:pPr>
        <w:ind w:left="360"/>
        <w:jc w:val="both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7B3F7AEF" w14:textId="10C8A2E0" w:rsidR="00582C45" w:rsidRPr="007E125F" w:rsidRDefault="00582C45" w:rsidP="00582C45">
      <w:pPr>
        <w:pStyle w:val="Textoindependiente"/>
        <w:numPr>
          <w:ilvl w:val="0"/>
          <w:numId w:val="1"/>
        </w:numPr>
        <w:kinsoku w:val="0"/>
        <w:overflowPunct w:val="0"/>
        <w:spacing w:line="204" w:lineRule="exact"/>
        <w:ind w:right="117"/>
        <w:rPr>
          <w:rFonts w:ascii="Arial" w:hAnsi="Arial" w:cs="Arial"/>
          <w:color w:val="000000"/>
          <w:sz w:val="22"/>
          <w:szCs w:val="22"/>
        </w:rPr>
      </w:pPr>
      <w:r w:rsidRPr="007E125F">
        <w:rPr>
          <w:rFonts w:ascii="Arial" w:hAnsi="Arial" w:cs="Arial"/>
          <w:color w:val="231F20"/>
          <w:sz w:val="22"/>
          <w:szCs w:val="22"/>
        </w:rPr>
        <w:t>La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cuadrilla</w:t>
      </w:r>
      <w:r w:rsidRPr="007E125F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que</w:t>
      </w:r>
      <w:r w:rsidRPr="007E125F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no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cuente</w:t>
      </w:r>
      <w:r w:rsidRPr="007E125F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con</w:t>
      </w:r>
      <w:r w:rsidRPr="007E125F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integrantes</w:t>
      </w:r>
      <w:r w:rsidRPr="007E125F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proofErr w:type="gramStart"/>
      <w:r w:rsidRPr="007E125F">
        <w:rPr>
          <w:rFonts w:ascii="Arial" w:hAnsi="Arial" w:cs="Arial"/>
          <w:color w:val="231F20"/>
          <w:sz w:val="22"/>
          <w:szCs w:val="22"/>
        </w:rPr>
        <w:t>extras,</w:t>
      </w:r>
      <w:proofErr w:type="gramEnd"/>
      <w:r w:rsidRPr="007E125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dejará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competir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si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algún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integrante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se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lesiona</w:t>
      </w:r>
      <w:r w:rsidRPr="007E125F">
        <w:rPr>
          <w:rFonts w:ascii="Arial" w:hAnsi="Arial" w:cs="Arial"/>
          <w:color w:val="231F20"/>
          <w:spacing w:val="-1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-1"/>
          <w:sz w:val="22"/>
          <w:szCs w:val="22"/>
        </w:rPr>
        <w:t>n</w:t>
      </w:r>
      <w:r w:rsidRPr="007E125F">
        <w:rPr>
          <w:rFonts w:ascii="Arial" w:hAnsi="Arial" w:cs="Arial"/>
          <w:color w:val="231F20"/>
          <w:sz w:val="22"/>
          <w:szCs w:val="22"/>
        </w:rPr>
        <w:t>tro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del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problema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campo,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ya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sea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ficticio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o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real,</w:t>
      </w:r>
      <w:r w:rsidRPr="007E125F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el integrante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lesionado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durante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el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problema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campo, no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debe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ser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cambiado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por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el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hombre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base,</w:t>
      </w:r>
      <w:r w:rsidRPr="007E125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ahí termina</w:t>
      </w:r>
      <w:r w:rsidRPr="007E125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su</w:t>
      </w:r>
      <w:r w:rsidRPr="007E125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participación.</w:t>
      </w:r>
    </w:p>
    <w:p w14:paraId="541AC4D5" w14:textId="77777777" w:rsidR="00582C45" w:rsidRPr="00CF0C8E" w:rsidRDefault="00582C45" w:rsidP="00582C45">
      <w:pPr>
        <w:kinsoku w:val="0"/>
        <w:overflowPunct w:val="0"/>
        <w:spacing w:before="10" w:line="160" w:lineRule="exact"/>
        <w:rPr>
          <w:rFonts w:ascii="Arial" w:hAnsi="Arial" w:cs="Arial"/>
          <w:sz w:val="16"/>
          <w:szCs w:val="16"/>
          <w:lang w:val="es-MX"/>
        </w:rPr>
      </w:pPr>
    </w:p>
    <w:p w14:paraId="4C88A85E" w14:textId="2BD9CFBC" w:rsidR="00582C45" w:rsidRPr="007E125F" w:rsidRDefault="00582C45" w:rsidP="00582C45">
      <w:pPr>
        <w:pStyle w:val="Textoindependiente"/>
        <w:numPr>
          <w:ilvl w:val="0"/>
          <w:numId w:val="1"/>
        </w:numPr>
        <w:tabs>
          <w:tab w:val="left" w:pos="363"/>
        </w:tabs>
        <w:kinsoku w:val="0"/>
        <w:overflowPunct w:val="0"/>
        <w:autoSpaceDE w:val="0"/>
        <w:autoSpaceDN w:val="0"/>
        <w:adjustRightInd w:val="0"/>
        <w:spacing w:before="34" w:line="250" w:lineRule="auto"/>
        <w:ind w:right="107"/>
        <w:rPr>
          <w:rFonts w:ascii="Arial" w:hAnsi="Arial" w:cs="Arial"/>
          <w:color w:val="000000"/>
          <w:sz w:val="22"/>
          <w:szCs w:val="22"/>
        </w:rPr>
      </w:pPr>
      <w:r w:rsidRPr="007E125F">
        <w:rPr>
          <w:rFonts w:ascii="Arial" w:hAnsi="Arial" w:cs="Arial"/>
          <w:color w:val="231F20"/>
          <w:sz w:val="22"/>
          <w:szCs w:val="22"/>
        </w:rPr>
        <w:t>Se</w:t>
      </w:r>
      <w:r w:rsidRPr="007E125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otorgará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un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bono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60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puntos</w:t>
      </w:r>
      <w:r w:rsidRPr="007E125F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extras,</w:t>
      </w:r>
      <w:r w:rsidRPr="007E125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si los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6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integrantes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que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inician</w:t>
      </w:r>
      <w:r w:rsidRPr="007E125F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el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problema</w:t>
      </w:r>
      <w:r w:rsidRPr="007E125F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 campo</w:t>
      </w:r>
      <w:r w:rsidRPr="007E125F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están</w:t>
      </w:r>
      <w:r w:rsidRPr="007E125F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certificados</w:t>
      </w:r>
      <w:r w:rsidRPr="007E125F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en</w:t>
      </w:r>
      <w:r w:rsidRPr="007E125F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el</w:t>
      </w:r>
      <w:r w:rsidRPr="007E125F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estándar</w:t>
      </w:r>
      <w:r w:rsidRPr="007E125F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por competencia</w:t>
      </w:r>
      <w:r w:rsidRPr="007E125F">
        <w:rPr>
          <w:rFonts w:ascii="Arial" w:hAnsi="Arial" w:cs="Arial"/>
          <w:color w:val="231F20"/>
          <w:spacing w:val="4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en</w:t>
      </w:r>
      <w:r w:rsidRPr="007E125F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rescate</w:t>
      </w:r>
      <w:r w:rsidRPr="007E125F">
        <w:rPr>
          <w:rFonts w:ascii="Arial" w:hAnsi="Arial" w:cs="Arial"/>
          <w:color w:val="231F20"/>
          <w:spacing w:val="41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minero</w:t>
      </w:r>
      <w:r w:rsidRPr="007E125F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subterráneo, EC1388.</w:t>
      </w:r>
      <w:r w:rsidRPr="007E125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(10</w:t>
      </w:r>
      <w:r w:rsidRPr="007E125F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puntos</w:t>
      </w:r>
      <w:r w:rsidRPr="007E125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7E125F">
        <w:rPr>
          <w:rFonts w:ascii="Arial" w:hAnsi="Arial" w:cs="Arial"/>
          <w:color w:val="231F20"/>
          <w:sz w:val="22"/>
          <w:szCs w:val="22"/>
        </w:rPr>
        <w:t>de bono por integrante certificado).</w:t>
      </w:r>
    </w:p>
    <w:p w14:paraId="78F8B4F5" w14:textId="77777777" w:rsidR="00582C45" w:rsidRPr="00CF0C8E" w:rsidRDefault="00582C45" w:rsidP="00CF0C8E">
      <w:pPr>
        <w:ind w:firstLine="708"/>
        <w:jc w:val="both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21E3DE40" w14:textId="165C2413" w:rsidR="00582C45" w:rsidRPr="007E125F" w:rsidRDefault="00582C45" w:rsidP="00582C45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7E125F">
        <w:rPr>
          <w:rFonts w:ascii="Arial" w:eastAsiaTheme="minorHAnsi" w:hAnsi="Arial" w:cs="Arial"/>
          <w:sz w:val="22"/>
          <w:szCs w:val="22"/>
          <w:lang w:val="es-MX"/>
        </w:rPr>
        <w:t xml:space="preserve">En el caso del gasero y </w:t>
      </w:r>
      <w:proofErr w:type="spellStart"/>
      <w:r w:rsidRPr="007E125F">
        <w:rPr>
          <w:rFonts w:ascii="Arial" w:eastAsiaTheme="minorHAnsi" w:hAnsi="Arial" w:cs="Arial"/>
          <w:sz w:val="22"/>
          <w:szCs w:val="22"/>
          <w:lang w:val="es-MX"/>
        </w:rPr>
        <w:t>benchman</w:t>
      </w:r>
      <w:proofErr w:type="spellEnd"/>
      <w:r w:rsidRPr="007E125F">
        <w:rPr>
          <w:rFonts w:ascii="Arial" w:eastAsiaTheme="minorHAnsi" w:hAnsi="Arial" w:cs="Arial"/>
          <w:sz w:val="22"/>
          <w:szCs w:val="22"/>
          <w:lang w:val="es-MX"/>
        </w:rPr>
        <w:t>,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Theme="minorHAnsi" w:hAnsi="Arial" w:cs="Arial"/>
          <w:sz w:val="22"/>
          <w:szCs w:val="22"/>
          <w:lang w:val="es-MX"/>
        </w:rPr>
        <w:t>puede participar quien determine cada cuadrilla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Theme="minorHAnsi" w:hAnsi="Arial" w:cs="Arial"/>
          <w:sz w:val="22"/>
          <w:szCs w:val="22"/>
          <w:lang w:val="es-MX"/>
        </w:rPr>
        <w:t>de los integrantes que se registren.</w:t>
      </w:r>
    </w:p>
    <w:p w14:paraId="705351EB" w14:textId="77777777" w:rsidR="00582C45" w:rsidRPr="00CF0C8E" w:rsidRDefault="00582C45" w:rsidP="00582C45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11E3EEF8" w14:textId="2646CEF1" w:rsidR="00582C45" w:rsidRPr="0002698D" w:rsidRDefault="005B5890" w:rsidP="00582C45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es-MX" w:eastAsia="es-ES"/>
        </w:rPr>
      </w:pPr>
      <w:r w:rsidRPr="0002698D">
        <w:rPr>
          <w:rFonts w:ascii="Arial" w:eastAsia="Arial Unicode MS" w:hAnsi="Arial" w:cs="Arial"/>
          <w:sz w:val="22"/>
          <w:szCs w:val="22"/>
          <w:lang w:val="es-MX" w:eastAsia="es-ES"/>
        </w:rPr>
        <w:t>Como no habrá</w:t>
      </w:r>
      <w:r w:rsidR="00607D4B" w:rsidRPr="0002698D">
        <w:rPr>
          <w:rFonts w:ascii="Arial" w:eastAsia="Arial Unicode MS" w:hAnsi="Arial" w:cs="Arial"/>
          <w:sz w:val="22"/>
          <w:szCs w:val="22"/>
          <w:lang w:val="es-MX" w:eastAsia="es-ES"/>
        </w:rPr>
        <w:t xml:space="preserve"> observadores </w:t>
      </w:r>
      <w:r w:rsidRPr="0002698D">
        <w:rPr>
          <w:rFonts w:ascii="Arial" w:eastAsia="Arial Unicode MS" w:hAnsi="Arial" w:cs="Arial"/>
          <w:sz w:val="22"/>
          <w:szCs w:val="22"/>
          <w:lang w:val="es-MX" w:eastAsia="es-ES"/>
        </w:rPr>
        <w:t>en la competencia de rescate minero</w:t>
      </w:r>
      <w:r w:rsidR="00607D4B" w:rsidRPr="0002698D">
        <w:rPr>
          <w:rFonts w:ascii="Arial" w:eastAsia="Arial Unicode MS" w:hAnsi="Arial" w:cs="Arial"/>
          <w:sz w:val="22"/>
          <w:szCs w:val="22"/>
          <w:lang w:val="es-MX" w:eastAsia="es-ES"/>
        </w:rPr>
        <w:t xml:space="preserve">, se solicita </w:t>
      </w:r>
      <w:r w:rsidRPr="0002698D">
        <w:rPr>
          <w:rFonts w:ascii="Arial" w:eastAsia="Arial Unicode MS" w:hAnsi="Arial" w:cs="Arial"/>
          <w:sz w:val="22"/>
          <w:szCs w:val="22"/>
          <w:lang w:val="es-MX" w:eastAsia="es-ES"/>
        </w:rPr>
        <w:t>a</w:t>
      </w:r>
      <w:r w:rsidR="00607D4B" w:rsidRPr="0002698D">
        <w:rPr>
          <w:rFonts w:ascii="Arial" w:eastAsia="Arial Unicode MS" w:hAnsi="Arial" w:cs="Arial"/>
          <w:sz w:val="22"/>
          <w:szCs w:val="22"/>
          <w:lang w:val="es-MX" w:eastAsia="es-ES"/>
        </w:rPr>
        <w:t xml:space="preserve"> las cuadrillas lleven sus cámaras en </w:t>
      </w:r>
      <w:r w:rsidRPr="0002698D">
        <w:rPr>
          <w:rFonts w:ascii="Arial" w:eastAsia="Arial Unicode MS" w:hAnsi="Arial" w:cs="Arial"/>
          <w:sz w:val="22"/>
          <w:szCs w:val="22"/>
          <w:lang w:val="es-MX" w:eastAsia="es-ES"/>
        </w:rPr>
        <w:t xml:space="preserve">su </w:t>
      </w:r>
      <w:r w:rsidR="00607D4B" w:rsidRPr="0002698D">
        <w:rPr>
          <w:rFonts w:ascii="Arial" w:eastAsia="Arial Unicode MS" w:hAnsi="Arial" w:cs="Arial"/>
          <w:sz w:val="22"/>
          <w:szCs w:val="22"/>
          <w:lang w:val="es-MX" w:eastAsia="es-ES"/>
        </w:rPr>
        <w:t>casco.</w:t>
      </w:r>
    </w:p>
    <w:p w14:paraId="63708E67" w14:textId="77777777" w:rsidR="00607D4B" w:rsidRPr="00CF0C8E" w:rsidRDefault="00607D4B" w:rsidP="00607D4B">
      <w:pPr>
        <w:jc w:val="both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7ECD89E6" w14:textId="65B85512" w:rsidR="00DF6A73" w:rsidRPr="007E125F" w:rsidRDefault="00DF6A73" w:rsidP="00DF6A73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7E125F">
        <w:rPr>
          <w:rFonts w:ascii="Arial" w:hAnsi="Arial" w:cs="Arial"/>
          <w:color w:val="000000"/>
          <w:sz w:val="22"/>
          <w:szCs w:val="22"/>
          <w:lang w:val="es-MX"/>
        </w:rPr>
        <w:t xml:space="preserve">Les recordamos a las cuadrillas participantes en la prueba de rescate minero que los aparatos de respiración autónoma deberán de revisarse </w:t>
      </w:r>
      <w:r w:rsidR="000F1938" w:rsidRPr="007E125F">
        <w:rPr>
          <w:rFonts w:ascii="Arial" w:hAnsi="Arial" w:cs="Arial"/>
          <w:color w:val="000000"/>
          <w:sz w:val="22"/>
          <w:szCs w:val="22"/>
          <w:lang w:val="es-MX"/>
        </w:rPr>
        <w:t>de acuerdo con</w:t>
      </w:r>
      <w:r w:rsidRPr="007E125F">
        <w:rPr>
          <w:rFonts w:ascii="Arial" w:hAnsi="Arial" w:cs="Arial"/>
          <w:color w:val="000000"/>
          <w:sz w:val="22"/>
          <w:szCs w:val="22"/>
          <w:lang w:val="es-MX"/>
        </w:rPr>
        <w:t xml:space="preserve"> las especificaciones de los fabricantes, el aparato que no cumpla con este requisito no podrá competir.</w:t>
      </w:r>
    </w:p>
    <w:p w14:paraId="2E302A2D" w14:textId="77777777" w:rsidR="00DF6A73" w:rsidRPr="00CF0C8E" w:rsidRDefault="00DF6A73" w:rsidP="00DF6A73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08CED04D" w14:textId="77777777" w:rsidR="00DF6A73" w:rsidRPr="007E125F" w:rsidRDefault="00DF6A73" w:rsidP="00DF6A73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es-MX" w:eastAsia="es-ES"/>
        </w:rPr>
      </w:pPr>
      <w:r w:rsidRPr="007E125F">
        <w:rPr>
          <w:rFonts w:ascii="Arial" w:eastAsia="Arial Unicode MS" w:hAnsi="Arial" w:cs="Arial"/>
          <w:sz w:val="22"/>
          <w:szCs w:val="22"/>
          <w:lang w:val="es-MX" w:eastAsia="es-ES"/>
        </w:rPr>
        <w:t>Será motivo de descalificación para la cuadrilla si el aparato de respiración autónoma presenta fallas durante la competencia y la cuadrilla no salga de inmediato a la base de aire fresco a corregirlas.</w:t>
      </w:r>
    </w:p>
    <w:p w14:paraId="0119C62F" w14:textId="77777777" w:rsidR="00DF6A73" w:rsidRPr="00CF0C8E" w:rsidRDefault="00DF6A73" w:rsidP="00DF6A73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54D4B2FE" w14:textId="3F232E4B" w:rsidR="00DF6A73" w:rsidRPr="007E125F" w:rsidRDefault="00DF6A73" w:rsidP="00DF6A73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Todas las cuadrillas de rescate minero subterráneo deberán de traer su detector de gases probados y calibrados.</w:t>
      </w:r>
      <w:r w:rsidR="000F1938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No se aceptarán las tablillas para simulación.</w:t>
      </w:r>
    </w:p>
    <w:p w14:paraId="7EE3A3C5" w14:textId="77777777" w:rsidR="00DF6A73" w:rsidRPr="00CF0C8E" w:rsidRDefault="00DF6A73" w:rsidP="00DF6A73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vertAlign w:val="superscript"/>
          <w:lang w:val="es-MX" w:eastAsia="es-ES"/>
        </w:rPr>
      </w:pPr>
    </w:p>
    <w:p w14:paraId="428EB132" w14:textId="77777777" w:rsidR="003E2D5E" w:rsidRDefault="008D4B1A" w:rsidP="003E2D5E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L</w:t>
      </w:r>
      <w:r w:rsidR="00DF6A73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a prueba </w:t>
      </w:r>
      <w:r w:rsidR="00812D4A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de esfuerzo</w:t>
      </w:r>
      <w:r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r w:rsidR="008011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se llevará a cabo durante el confinamiento a</w:t>
      </w:r>
      <w:r w:rsidR="006C76DC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los miembros de la cuadrilla</w:t>
      </w:r>
      <w:r w:rsidR="00DB134B"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quince minutos antes de ingresar al campo.</w:t>
      </w:r>
    </w:p>
    <w:p w14:paraId="7730A932" w14:textId="77777777" w:rsidR="003E2D5E" w:rsidRPr="00CF0C8E" w:rsidRDefault="003E2D5E" w:rsidP="003E2D5E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0685A2C1" w14:textId="18070C66" w:rsidR="002174CC" w:rsidRPr="003E2D5E" w:rsidRDefault="002174CC" w:rsidP="003E2D5E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3E2D5E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 No se permitirá el uso de cubitos de hielo</w:t>
      </w:r>
      <w:r w:rsidR="003E2D5E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, deberán de traer</w:t>
      </w:r>
      <w:r w:rsidR="00CF0C8E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sus cilindros listos para la prueba.</w:t>
      </w:r>
    </w:p>
    <w:p w14:paraId="16B48002" w14:textId="77777777" w:rsidR="00DF6A73" w:rsidRPr="00CF0C8E" w:rsidRDefault="00DF6A73" w:rsidP="00DF6A73">
      <w:pPr>
        <w:pStyle w:val="Prrafodelista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4476CA1C" w14:textId="3B3B0996" w:rsidR="00607D4B" w:rsidRPr="003E2D5E" w:rsidRDefault="00DF6A73" w:rsidP="00DF6A73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7E125F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Se llevará a cabo una premiación por separado para la prueba de primeros auxilios para las operaciones subterráneas.  La prueba será integral, sumando las tres estaciones más el examen escrito.</w:t>
      </w:r>
    </w:p>
    <w:p w14:paraId="23F9E8EB" w14:textId="77777777" w:rsidR="00607D4B" w:rsidRPr="007E125F" w:rsidRDefault="00607D4B" w:rsidP="00DF6A73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s-MX" w:eastAsia="es-ES"/>
        </w:rPr>
      </w:pPr>
    </w:p>
    <w:p w14:paraId="2B3AB77D" w14:textId="1C34785A" w:rsidR="00DF6A73" w:rsidRPr="007E125F" w:rsidRDefault="00DF6A73" w:rsidP="00DF6A73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s-MX" w:eastAsia="es-ES"/>
        </w:rPr>
      </w:pPr>
      <w:r w:rsidRPr="007E125F">
        <w:rPr>
          <w:rFonts w:ascii="Arial" w:eastAsia="Arial Unicode MS" w:hAnsi="Arial" w:cs="Arial"/>
          <w:b/>
          <w:color w:val="000000"/>
          <w:sz w:val="22"/>
          <w:szCs w:val="22"/>
          <w:lang w:val="es-MX" w:eastAsia="es-ES"/>
        </w:rPr>
        <w:t>Primeros Auxilios</w:t>
      </w:r>
      <w:r w:rsidR="00DB134B" w:rsidRPr="007E125F">
        <w:rPr>
          <w:rFonts w:ascii="Arial" w:eastAsia="Arial Unicode MS" w:hAnsi="Arial" w:cs="Arial"/>
          <w:b/>
          <w:color w:val="000000"/>
          <w:sz w:val="22"/>
          <w:szCs w:val="22"/>
          <w:lang w:val="es-MX" w:eastAsia="es-ES"/>
        </w:rPr>
        <w:t xml:space="preserve"> y Materiales Peligrosos</w:t>
      </w:r>
    </w:p>
    <w:p w14:paraId="76756BDB" w14:textId="77777777" w:rsidR="00DF6A73" w:rsidRPr="007E125F" w:rsidRDefault="00DF6A73" w:rsidP="00DF6A73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</w:p>
    <w:p w14:paraId="51862F1A" w14:textId="15F21D7E" w:rsidR="00E46916" w:rsidRDefault="00E46916" w:rsidP="00CF0C8E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El comité organizador de la competencia de las cuadrillas de respuesta a emergencias con materiales peligrosos (CRE-MATPEL) estará en posibilidad de prestar cuando se requiera parte del </w:t>
      </w:r>
      <w:r w:rsidRPr="00E46916">
        <w:rPr>
          <w:rFonts w:ascii="Arial" w:eastAsia="Arial Unicode MS" w:hAnsi="Arial" w:cs="Arial"/>
          <w:b/>
          <w:bCs/>
          <w:color w:val="000000"/>
          <w:sz w:val="22"/>
          <w:szCs w:val="22"/>
          <w:lang w:val="es-MX" w:eastAsia="es-ES"/>
        </w:rPr>
        <w:t>equipo y material necesario</w:t>
      </w:r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que se establece en la sección del equipo y material requerido. Así como las Hojas de Datos de Seguridad (HDS) que se requieran para su consulta.</w:t>
      </w:r>
    </w:p>
    <w:p w14:paraId="51877865" w14:textId="77777777" w:rsidR="00CF0C8E" w:rsidRPr="00CF0C8E" w:rsidRDefault="00CF0C8E" w:rsidP="00CF0C8E">
      <w:pPr>
        <w:ind w:left="360"/>
        <w:jc w:val="both"/>
        <w:rPr>
          <w:rFonts w:ascii="Arial" w:eastAsia="Arial Unicode MS" w:hAnsi="Arial" w:cs="Arial"/>
          <w:color w:val="000000"/>
          <w:sz w:val="16"/>
          <w:szCs w:val="16"/>
          <w:lang w:val="es-MX" w:eastAsia="es-ES"/>
        </w:rPr>
      </w:pPr>
    </w:p>
    <w:p w14:paraId="5EDC73A7" w14:textId="77777777" w:rsidR="00E46916" w:rsidRDefault="00E46916" w:rsidP="00E46916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Adicionalmente, a cada CRE-MATPEL se les prestará impresa la guía de uso del listado de </w:t>
      </w:r>
      <w:proofErr w:type="spellStart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AEGLs</w:t>
      </w:r>
      <w:proofErr w:type="spellEnd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(de sus siglas en inglés Acute </w:t>
      </w:r>
      <w:proofErr w:type="spellStart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Exposure</w:t>
      </w:r>
      <w:proofErr w:type="spellEnd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proofErr w:type="spellStart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Guideline</w:t>
      </w:r>
      <w:proofErr w:type="spellEnd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 </w:t>
      </w:r>
      <w:proofErr w:type="spellStart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Levels</w:t>
      </w:r>
      <w:proofErr w:type="spellEnd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 xml:space="preserve">) y el listado de los </w:t>
      </w:r>
      <w:proofErr w:type="spellStart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AEGLs</w:t>
      </w:r>
      <w:proofErr w:type="spellEnd"/>
      <w:r w:rsidRPr="00E46916"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  <w:t>, que pudieran necesitarse como parte de las respuestas a la solución del problema.</w:t>
      </w:r>
    </w:p>
    <w:p w14:paraId="0FE5B415" w14:textId="77777777" w:rsidR="00E46916" w:rsidRPr="00E46916" w:rsidRDefault="00E46916" w:rsidP="00E46916">
      <w:pPr>
        <w:ind w:left="360"/>
        <w:jc w:val="both"/>
        <w:rPr>
          <w:rFonts w:ascii="Arial" w:eastAsia="Arial Unicode MS" w:hAnsi="Arial" w:cs="Arial"/>
          <w:color w:val="000000"/>
          <w:sz w:val="22"/>
          <w:szCs w:val="22"/>
          <w:lang w:val="es-MX" w:eastAsia="es-ES"/>
        </w:rPr>
      </w:pPr>
    </w:p>
    <w:p w14:paraId="7B6B89EE" w14:textId="77777777" w:rsidR="00DF6A73" w:rsidRPr="007E125F" w:rsidRDefault="00DF6A73">
      <w:pPr>
        <w:rPr>
          <w:rFonts w:ascii="Arial" w:hAnsi="Arial" w:cs="Arial"/>
          <w:sz w:val="22"/>
          <w:szCs w:val="22"/>
          <w:lang w:val="es-MX"/>
        </w:rPr>
      </w:pPr>
    </w:p>
    <w:sectPr w:rsidR="00DF6A73" w:rsidRPr="007E125F">
      <w:pgSz w:w="12240" w:h="15840"/>
      <w:pgMar w:top="899" w:right="1191" w:bottom="71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1100C9C"/>
    <w:multiLevelType w:val="hybridMultilevel"/>
    <w:tmpl w:val="EE58469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15F58"/>
    <w:multiLevelType w:val="hybridMultilevel"/>
    <w:tmpl w:val="DEF63B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D50AF"/>
    <w:multiLevelType w:val="hybridMultilevel"/>
    <w:tmpl w:val="2DE2C43A"/>
    <w:lvl w:ilvl="0" w:tplc="23E8C468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63300">
    <w:abstractNumId w:val="1"/>
  </w:num>
  <w:num w:numId="2" w16cid:durableId="1881555620">
    <w:abstractNumId w:val="2"/>
  </w:num>
  <w:num w:numId="3" w16cid:durableId="833570297">
    <w:abstractNumId w:val="0"/>
  </w:num>
  <w:num w:numId="4" w16cid:durableId="1142426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73"/>
    <w:rsid w:val="00021B77"/>
    <w:rsid w:val="0002698D"/>
    <w:rsid w:val="00041CA7"/>
    <w:rsid w:val="000A6F77"/>
    <w:rsid w:val="000B038E"/>
    <w:rsid w:val="000F1938"/>
    <w:rsid w:val="001428ED"/>
    <w:rsid w:val="00150C80"/>
    <w:rsid w:val="001B1A6F"/>
    <w:rsid w:val="002174CC"/>
    <w:rsid w:val="002505B8"/>
    <w:rsid w:val="00263FCC"/>
    <w:rsid w:val="00264BE1"/>
    <w:rsid w:val="002F0CD7"/>
    <w:rsid w:val="0031789E"/>
    <w:rsid w:val="003B59DA"/>
    <w:rsid w:val="003E2D5E"/>
    <w:rsid w:val="004B429D"/>
    <w:rsid w:val="00582C45"/>
    <w:rsid w:val="005A0F01"/>
    <w:rsid w:val="005B5890"/>
    <w:rsid w:val="005F1638"/>
    <w:rsid w:val="00607D4B"/>
    <w:rsid w:val="006C76DC"/>
    <w:rsid w:val="0078026C"/>
    <w:rsid w:val="00786044"/>
    <w:rsid w:val="00796165"/>
    <w:rsid w:val="007E125F"/>
    <w:rsid w:val="0080114B"/>
    <w:rsid w:val="00812D4A"/>
    <w:rsid w:val="008D4B1A"/>
    <w:rsid w:val="008F5422"/>
    <w:rsid w:val="00912510"/>
    <w:rsid w:val="009B1396"/>
    <w:rsid w:val="009C5772"/>
    <w:rsid w:val="00A33ECE"/>
    <w:rsid w:val="00A608B6"/>
    <w:rsid w:val="00AC5BEA"/>
    <w:rsid w:val="00B12CFA"/>
    <w:rsid w:val="00B87489"/>
    <w:rsid w:val="00C5494A"/>
    <w:rsid w:val="00CF0C8E"/>
    <w:rsid w:val="00D762DA"/>
    <w:rsid w:val="00DB134B"/>
    <w:rsid w:val="00DE7792"/>
    <w:rsid w:val="00DF0B86"/>
    <w:rsid w:val="00DF6A73"/>
    <w:rsid w:val="00E46916"/>
    <w:rsid w:val="00F173C8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856"/>
  <w15:chartTrackingRefBased/>
  <w15:docId w15:val="{DA1ED052-8C4E-4126-A797-2C29EA0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F6A73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6A73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semiHidden/>
    <w:rsid w:val="00DF6A7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rsid w:val="00DF6A73"/>
    <w:pPr>
      <w:ind w:left="720" w:hanging="720"/>
      <w:jc w:val="both"/>
    </w:pPr>
    <w:rPr>
      <w:rFonts w:ascii="Tahoma" w:hAnsi="Tahoma" w:cs="Tahoma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6A73"/>
    <w:rPr>
      <w:rFonts w:ascii="Tahoma" w:eastAsia="Times New Roman" w:hAnsi="Tahoma" w:cs="Tahoma"/>
      <w:sz w:val="24"/>
      <w:szCs w:val="24"/>
    </w:rPr>
  </w:style>
  <w:style w:type="paragraph" w:styleId="Prrafodelista">
    <w:name w:val="List Paragraph"/>
    <w:basedOn w:val="Normal"/>
    <w:uiPriority w:val="34"/>
    <w:qFormat/>
    <w:rsid w:val="00DF6A73"/>
    <w:pPr>
      <w:ind w:left="708"/>
    </w:pPr>
  </w:style>
  <w:style w:type="paragraph" w:styleId="Ttulo">
    <w:name w:val="Title"/>
    <w:basedOn w:val="Normal"/>
    <w:link w:val="TtuloCar"/>
    <w:qFormat/>
    <w:rsid w:val="00DF0B86"/>
    <w:pPr>
      <w:jc w:val="center"/>
    </w:pPr>
    <w:rPr>
      <w:b/>
      <w:sz w:val="20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DF0B86"/>
    <w:rPr>
      <w:rFonts w:ascii="Times New Roman" w:eastAsia="Times New Roman" w:hAnsi="Times New Roman" w:cs="Times New Roman"/>
      <w:b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imex.org.mx/index.php/publicaciones/manuales-de-resc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Comisiones CAMIMEX</dc:creator>
  <cp:keywords/>
  <dc:description/>
  <cp:lastModifiedBy>Comisiones CAMIMEX</cp:lastModifiedBy>
  <cp:revision>3</cp:revision>
  <cp:lastPrinted>2024-10-02T23:36:00Z</cp:lastPrinted>
  <dcterms:created xsi:type="dcterms:W3CDTF">2024-10-04T01:46:00Z</dcterms:created>
  <dcterms:modified xsi:type="dcterms:W3CDTF">2024-10-04T01:46:00Z</dcterms:modified>
</cp:coreProperties>
</file>